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4C" w:rsidRDefault="00C76395" w:rsidP="00C76395">
      <w:pPr>
        <w:jc w:val="center"/>
      </w:pPr>
      <w:proofErr w:type="spellStart"/>
      <w:r w:rsidRPr="00C76395">
        <w:rPr>
          <w:b/>
          <w:u w:val="single"/>
        </w:rPr>
        <w:t>Crim</w:t>
      </w:r>
      <w:proofErr w:type="spellEnd"/>
      <w:r w:rsidRPr="00C76395">
        <w:rPr>
          <w:b/>
          <w:u w:val="single"/>
        </w:rPr>
        <w:t xml:space="preserve"> Pro </w:t>
      </w:r>
      <w:r w:rsidR="00EB6DCD">
        <w:rPr>
          <w:b/>
          <w:u w:val="single"/>
        </w:rPr>
        <w:t>(</w:t>
      </w:r>
      <w:r w:rsidRPr="00C76395">
        <w:rPr>
          <w:b/>
          <w:u w:val="single"/>
        </w:rPr>
        <w:t>Daily</w:t>
      </w:r>
      <w:r w:rsidR="00EB6DCD">
        <w:rPr>
          <w:b/>
          <w:u w:val="single"/>
        </w:rPr>
        <w:t>?)</w:t>
      </w:r>
      <w:r w:rsidRPr="00C76395">
        <w:rPr>
          <w:b/>
          <w:u w:val="single"/>
        </w:rPr>
        <w:t xml:space="preserve"> </w:t>
      </w:r>
      <w:r w:rsidR="00EB6DCD">
        <w:rPr>
          <w:b/>
          <w:u w:val="single"/>
        </w:rPr>
        <w:t>Outline</w:t>
      </w:r>
      <w:r w:rsidRPr="00C76395">
        <w:rPr>
          <w:b/>
          <w:u w:val="single"/>
        </w:rPr>
        <w:t xml:space="preserve"> – </w:t>
      </w:r>
      <w:r w:rsidR="00EB6DCD">
        <w:rPr>
          <w:b/>
          <w:u w:val="single"/>
        </w:rPr>
        <w:t xml:space="preserve">August </w:t>
      </w:r>
      <w:r w:rsidR="00FD4B08">
        <w:rPr>
          <w:b/>
          <w:u w:val="single"/>
        </w:rPr>
        <w:t>31</w:t>
      </w:r>
      <w:r w:rsidR="00EB6DCD">
        <w:rPr>
          <w:b/>
          <w:u w:val="single"/>
        </w:rPr>
        <w:t xml:space="preserve">, 2015 </w:t>
      </w:r>
    </w:p>
    <w:p w:rsidR="00EB6DCD" w:rsidRDefault="00C76395" w:rsidP="004E1304">
      <w:pPr>
        <w:pStyle w:val="FootnoteText"/>
        <w:rPr>
          <w:b/>
        </w:rPr>
      </w:pPr>
      <w:r>
        <w:rPr>
          <w:b/>
        </w:rPr>
        <w:t>1</w:t>
      </w:r>
      <w:r w:rsidR="00EB6DCD">
        <w:rPr>
          <w:b/>
        </w:rPr>
        <w:t xml:space="preserve">.  </w:t>
      </w:r>
      <w:r w:rsidR="00FD4B08">
        <w:rPr>
          <w:b/>
        </w:rPr>
        <w:t xml:space="preserve">Last word (for now) on </w:t>
      </w:r>
      <w:r w:rsidR="004E1304">
        <w:rPr>
          <w:b/>
        </w:rPr>
        <w:t>Traffic Stops</w:t>
      </w:r>
    </w:p>
    <w:p w:rsidR="00EB6DCD" w:rsidRDefault="00FD4B08" w:rsidP="00FD4B08">
      <w:pPr>
        <w:pStyle w:val="FootnoteText"/>
      </w:pPr>
      <w:r>
        <w:rPr>
          <w:b/>
        </w:rPr>
        <w:tab/>
      </w:r>
      <w:r w:rsidRPr="00FD4B08">
        <w:t xml:space="preserve">-- </w:t>
      </w:r>
      <w:r w:rsidRPr="00FD4B08">
        <w:rPr>
          <w:i/>
        </w:rPr>
        <w:t xml:space="preserve">Pa. v. </w:t>
      </w:r>
      <w:proofErr w:type="spellStart"/>
      <w:r w:rsidRPr="00FD4B08">
        <w:rPr>
          <w:i/>
        </w:rPr>
        <w:t>Mimms</w:t>
      </w:r>
      <w:proofErr w:type="spellEnd"/>
      <w:r w:rsidRPr="00FD4B08">
        <w:t xml:space="preserve"> (1977); </w:t>
      </w:r>
      <w:r w:rsidRPr="00FD4B08">
        <w:rPr>
          <w:i/>
        </w:rPr>
        <w:t>Md. v. Wilson</w:t>
      </w:r>
      <w:r w:rsidRPr="00FD4B08">
        <w:t xml:space="preserve"> (1997):</w:t>
      </w:r>
      <w:r w:rsidR="004E1304" w:rsidRPr="00FD4B08">
        <w:t xml:space="preserve"> </w:t>
      </w:r>
      <w:r>
        <w:t>Cops can order driver and passengers to do virtually anything that might reasonably relate to safety: get out of the car, stay in the car, move to the shoulder, etc.</w:t>
      </w:r>
    </w:p>
    <w:p w:rsidR="00D21A15" w:rsidRDefault="00FD4B08" w:rsidP="00FD4B08">
      <w:pPr>
        <w:pStyle w:val="FootnoteText"/>
        <w:rPr>
          <w:color w:val="333333"/>
          <w:szCs w:val="28"/>
          <w:lang w:val="en"/>
        </w:rPr>
      </w:pPr>
      <w:r>
        <w:tab/>
        <w:t xml:space="preserve">-- </w:t>
      </w:r>
      <w:r w:rsidRPr="00D21A15">
        <w:rPr>
          <w:u w:val="single"/>
        </w:rPr>
        <w:t xml:space="preserve">From Kennedy dissent in </w:t>
      </w:r>
      <w:r w:rsidRPr="00D21A15">
        <w:rPr>
          <w:i/>
          <w:u w:val="single"/>
        </w:rPr>
        <w:t>Wilson</w:t>
      </w:r>
      <w:r>
        <w:t xml:space="preserve">: </w:t>
      </w:r>
      <w:r w:rsidR="00D21A15">
        <w:t>“</w:t>
      </w:r>
      <w:r w:rsidRPr="00FD4B08">
        <w:rPr>
          <w:color w:val="333333"/>
          <w:szCs w:val="28"/>
          <w:lang w:val="en"/>
        </w:rPr>
        <w:t>The practical effect of our holding in</w:t>
      </w:r>
    </w:p>
    <w:p w:rsidR="00D21A15" w:rsidRDefault="00D21A15" w:rsidP="00FD4B08">
      <w:pPr>
        <w:pStyle w:val="FootnoteText"/>
        <w:rPr>
          <w:color w:val="333333"/>
          <w:szCs w:val="28"/>
          <w:lang w:val="en"/>
        </w:rPr>
      </w:pPr>
      <w:r>
        <w:rPr>
          <w:color w:val="333333"/>
          <w:szCs w:val="28"/>
          <w:lang w:val="en"/>
        </w:rPr>
        <w:tab/>
      </w:r>
      <w:r>
        <w:rPr>
          <w:color w:val="333333"/>
          <w:szCs w:val="28"/>
          <w:lang w:val="en"/>
        </w:rPr>
        <w:tab/>
      </w:r>
      <w:proofErr w:type="spellStart"/>
      <w:r w:rsidR="00FD4B08" w:rsidRPr="00FD4B08">
        <w:rPr>
          <w:i/>
          <w:iCs/>
          <w:color w:val="333333"/>
          <w:szCs w:val="28"/>
          <w:lang w:val="en"/>
        </w:rPr>
        <w:t>Whren</w:t>
      </w:r>
      <w:proofErr w:type="spellEnd"/>
      <w:r w:rsidR="00FD4B08" w:rsidRPr="00FD4B08">
        <w:rPr>
          <w:i/>
          <w:iCs/>
          <w:color w:val="333333"/>
          <w:szCs w:val="28"/>
          <w:lang w:val="en"/>
        </w:rPr>
        <w:t xml:space="preserve">, </w:t>
      </w:r>
      <w:r w:rsidR="00FD4B08" w:rsidRPr="00FD4B08">
        <w:rPr>
          <w:color w:val="333333"/>
          <w:szCs w:val="28"/>
          <w:lang w:val="en"/>
        </w:rPr>
        <w:t>of course, is to allow the police to stop vehicles in almost</w:t>
      </w:r>
    </w:p>
    <w:p w:rsidR="00D21A15" w:rsidRDefault="00D21A15" w:rsidP="00FD4B08">
      <w:pPr>
        <w:pStyle w:val="FootnoteText"/>
        <w:rPr>
          <w:color w:val="333333"/>
          <w:szCs w:val="28"/>
          <w:lang w:val="en"/>
        </w:rPr>
      </w:pPr>
      <w:r>
        <w:rPr>
          <w:color w:val="333333"/>
          <w:szCs w:val="28"/>
          <w:lang w:val="en"/>
        </w:rPr>
        <w:tab/>
      </w:r>
      <w:r>
        <w:rPr>
          <w:color w:val="333333"/>
          <w:szCs w:val="28"/>
          <w:lang w:val="en"/>
        </w:rPr>
        <w:tab/>
      </w:r>
      <w:proofErr w:type="gramStart"/>
      <w:r w:rsidR="00FD4B08" w:rsidRPr="00FD4B08">
        <w:rPr>
          <w:color w:val="333333"/>
          <w:szCs w:val="28"/>
          <w:lang w:val="en"/>
        </w:rPr>
        <w:t>countless</w:t>
      </w:r>
      <w:proofErr w:type="gramEnd"/>
      <w:r w:rsidR="00FD4B08" w:rsidRPr="00FD4B08">
        <w:rPr>
          <w:color w:val="333333"/>
          <w:szCs w:val="28"/>
          <w:lang w:val="en"/>
        </w:rPr>
        <w:t xml:space="preserve"> circumstances. When </w:t>
      </w:r>
      <w:proofErr w:type="spellStart"/>
      <w:r w:rsidR="00FD4B08" w:rsidRPr="00FD4B08">
        <w:rPr>
          <w:i/>
          <w:iCs/>
          <w:color w:val="333333"/>
          <w:szCs w:val="28"/>
          <w:lang w:val="en"/>
        </w:rPr>
        <w:t>Whren</w:t>
      </w:r>
      <w:proofErr w:type="spellEnd"/>
      <w:r w:rsidR="00FD4B08" w:rsidRPr="00FD4B08">
        <w:rPr>
          <w:i/>
          <w:iCs/>
          <w:color w:val="333333"/>
          <w:szCs w:val="28"/>
          <w:lang w:val="en"/>
        </w:rPr>
        <w:t xml:space="preserve"> </w:t>
      </w:r>
      <w:r w:rsidR="00FD4B08" w:rsidRPr="00FD4B08">
        <w:rPr>
          <w:color w:val="333333"/>
          <w:szCs w:val="28"/>
          <w:lang w:val="en"/>
        </w:rPr>
        <w:t>is coupled with today's holding,</w:t>
      </w:r>
    </w:p>
    <w:p w:rsidR="00D21A15" w:rsidRDefault="00D21A15" w:rsidP="00FD4B08">
      <w:pPr>
        <w:pStyle w:val="FootnoteText"/>
        <w:rPr>
          <w:color w:val="333333"/>
          <w:szCs w:val="28"/>
          <w:lang w:val="en"/>
        </w:rPr>
      </w:pPr>
      <w:r>
        <w:rPr>
          <w:color w:val="333333"/>
          <w:szCs w:val="28"/>
          <w:lang w:val="en"/>
        </w:rPr>
        <w:tab/>
      </w:r>
      <w:r>
        <w:rPr>
          <w:color w:val="333333"/>
          <w:szCs w:val="28"/>
          <w:lang w:val="en"/>
        </w:rPr>
        <w:tab/>
      </w:r>
      <w:proofErr w:type="gramStart"/>
      <w:r w:rsidR="00FD4B08" w:rsidRPr="00FD4B08">
        <w:rPr>
          <w:color w:val="333333"/>
          <w:szCs w:val="28"/>
          <w:lang w:val="en"/>
        </w:rPr>
        <w:t>the</w:t>
      </w:r>
      <w:proofErr w:type="gramEnd"/>
      <w:r w:rsidR="00FD4B08" w:rsidRPr="00FD4B08">
        <w:rPr>
          <w:color w:val="333333"/>
          <w:szCs w:val="28"/>
          <w:lang w:val="en"/>
        </w:rPr>
        <w:t xml:space="preserve"> Court puts tens of millions of passengers at risk of arbitrary control by</w:t>
      </w:r>
    </w:p>
    <w:p w:rsidR="00D21A15" w:rsidRDefault="00D21A15" w:rsidP="00D21A15">
      <w:pPr>
        <w:pStyle w:val="NormalWeb"/>
        <w:shd w:val="clear" w:color="auto" w:fill="FFFFFF"/>
        <w:spacing w:line="240" w:lineRule="auto"/>
        <w:rPr>
          <w:rFonts w:eastAsia="Times New Roman"/>
          <w:color w:val="333333"/>
          <w:sz w:val="28"/>
          <w:szCs w:val="28"/>
          <w:lang w:val="en"/>
        </w:rPr>
      </w:pPr>
      <w:r>
        <w:rPr>
          <w:color w:val="333333"/>
          <w:szCs w:val="28"/>
          <w:lang w:val="en"/>
        </w:rPr>
        <w:tab/>
      </w:r>
      <w:r>
        <w:rPr>
          <w:color w:val="333333"/>
          <w:szCs w:val="28"/>
          <w:lang w:val="en"/>
        </w:rPr>
        <w:tab/>
      </w:r>
      <w:proofErr w:type="gramStart"/>
      <w:r w:rsidR="00FD4B08" w:rsidRPr="00FD4B08">
        <w:rPr>
          <w:color w:val="333333"/>
          <w:sz w:val="28"/>
          <w:szCs w:val="28"/>
          <w:lang w:val="en"/>
        </w:rPr>
        <w:t>the</w:t>
      </w:r>
      <w:proofErr w:type="gramEnd"/>
      <w:r w:rsidR="00FD4B08" w:rsidRPr="00FD4B08">
        <w:rPr>
          <w:color w:val="333333"/>
          <w:sz w:val="28"/>
          <w:szCs w:val="28"/>
          <w:lang w:val="en"/>
        </w:rPr>
        <w:t xml:space="preserve"> police</w:t>
      </w:r>
      <w:r>
        <w:rPr>
          <w:color w:val="333333"/>
          <w:szCs w:val="28"/>
          <w:lang w:val="en"/>
        </w:rPr>
        <w:t xml:space="preserve">. </w:t>
      </w:r>
      <w:r w:rsidRPr="00D21A15">
        <w:rPr>
          <w:color w:val="333333"/>
          <w:sz w:val="28"/>
          <w:szCs w:val="28"/>
          <w:lang w:val="en"/>
        </w:rPr>
        <w:t xml:space="preserve"> …. </w:t>
      </w:r>
      <w:r w:rsidRPr="00D21A15">
        <w:rPr>
          <w:rFonts w:eastAsia="Times New Roman"/>
          <w:color w:val="333333"/>
          <w:sz w:val="28"/>
          <w:szCs w:val="28"/>
          <w:lang w:val="en"/>
        </w:rPr>
        <w:t>Most officers, it might be said, will exercise their new</w:t>
      </w:r>
    </w:p>
    <w:p w:rsidR="00D21A15" w:rsidRDefault="00D21A15" w:rsidP="00D21A15">
      <w:pPr>
        <w:pStyle w:val="NormalWeb"/>
        <w:shd w:val="clear" w:color="auto" w:fill="FFFFFF"/>
        <w:spacing w:line="240" w:lineRule="auto"/>
        <w:rPr>
          <w:rFonts w:eastAsia="Times New Roman"/>
          <w:color w:val="333333"/>
          <w:sz w:val="28"/>
          <w:szCs w:val="28"/>
          <w:lang w:val="en"/>
        </w:rPr>
      </w:pPr>
      <w:r>
        <w:rPr>
          <w:rFonts w:eastAsia="Times New Roman"/>
          <w:color w:val="333333"/>
          <w:sz w:val="28"/>
          <w:szCs w:val="28"/>
          <w:lang w:val="en"/>
        </w:rPr>
        <w:tab/>
      </w:r>
      <w:r>
        <w:rPr>
          <w:rFonts w:eastAsia="Times New Roman"/>
          <w:color w:val="333333"/>
          <w:sz w:val="28"/>
          <w:szCs w:val="28"/>
          <w:lang w:val="en"/>
        </w:rPr>
        <w:tab/>
      </w:r>
      <w:proofErr w:type="gramStart"/>
      <w:r w:rsidRPr="00D21A15">
        <w:rPr>
          <w:rFonts w:eastAsia="Times New Roman"/>
          <w:color w:val="333333"/>
          <w:sz w:val="28"/>
          <w:szCs w:val="28"/>
          <w:lang w:val="en"/>
        </w:rPr>
        <w:t>power</w:t>
      </w:r>
      <w:proofErr w:type="gramEnd"/>
      <w:r w:rsidRPr="00D21A15">
        <w:rPr>
          <w:rFonts w:eastAsia="Times New Roman"/>
          <w:color w:val="333333"/>
          <w:sz w:val="28"/>
          <w:szCs w:val="28"/>
          <w:lang w:val="en"/>
        </w:rPr>
        <w:t xml:space="preserve"> with discretion and restraint; and no doubt this often</w:t>
      </w:r>
      <w:r>
        <w:rPr>
          <w:rFonts w:eastAsia="Times New Roman"/>
          <w:color w:val="333333"/>
          <w:sz w:val="28"/>
          <w:szCs w:val="28"/>
          <w:lang w:val="en"/>
        </w:rPr>
        <w:t xml:space="preserve"> </w:t>
      </w:r>
      <w:r w:rsidRPr="00D21A15">
        <w:rPr>
          <w:rFonts w:eastAsia="Times New Roman"/>
          <w:color w:val="333333"/>
          <w:sz w:val="28"/>
          <w:szCs w:val="28"/>
          <w:lang w:val="en"/>
        </w:rPr>
        <w:t>will be the</w:t>
      </w:r>
    </w:p>
    <w:p w:rsidR="00D21A15" w:rsidRDefault="00D21A15" w:rsidP="00D21A15">
      <w:pPr>
        <w:pStyle w:val="NormalWeb"/>
        <w:shd w:val="clear" w:color="auto" w:fill="FFFFFF"/>
        <w:spacing w:line="240" w:lineRule="auto"/>
        <w:rPr>
          <w:rFonts w:eastAsia="Times New Roman"/>
          <w:color w:val="333333"/>
          <w:sz w:val="28"/>
          <w:szCs w:val="28"/>
          <w:lang w:val="en"/>
        </w:rPr>
      </w:pPr>
      <w:r>
        <w:rPr>
          <w:rFonts w:eastAsia="Times New Roman"/>
          <w:color w:val="333333"/>
          <w:sz w:val="28"/>
          <w:szCs w:val="28"/>
          <w:lang w:val="en"/>
        </w:rPr>
        <w:tab/>
      </w:r>
      <w:r>
        <w:rPr>
          <w:rFonts w:eastAsia="Times New Roman"/>
          <w:color w:val="333333"/>
          <w:sz w:val="28"/>
          <w:szCs w:val="28"/>
          <w:lang w:val="en"/>
        </w:rPr>
        <w:tab/>
      </w:r>
      <w:proofErr w:type="gramStart"/>
      <w:r w:rsidRPr="00D21A15">
        <w:rPr>
          <w:rFonts w:eastAsia="Times New Roman"/>
          <w:color w:val="333333"/>
          <w:sz w:val="28"/>
          <w:szCs w:val="28"/>
          <w:lang w:val="en"/>
        </w:rPr>
        <w:t>case</w:t>
      </w:r>
      <w:proofErr w:type="gramEnd"/>
      <w:r w:rsidRPr="00D21A15">
        <w:rPr>
          <w:rFonts w:eastAsia="Times New Roman"/>
          <w:color w:val="333333"/>
          <w:sz w:val="28"/>
          <w:szCs w:val="28"/>
          <w:lang w:val="en"/>
        </w:rPr>
        <w:t>.</w:t>
      </w:r>
      <w:r>
        <w:rPr>
          <w:rFonts w:eastAsia="Times New Roman"/>
          <w:color w:val="333333"/>
          <w:sz w:val="28"/>
          <w:szCs w:val="28"/>
          <w:lang w:val="en"/>
        </w:rPr>
        <w:t xml:space="preserve">  </w:t>
      </w:r>
      <w:proofErr w:type="gramStart"/>
      <w:r>
        <w:rPr>
          <w:rFonts w:eastAsia="Times New Roman"/>
          <w:color w:val="333333"/>
          <w:sz w:val="28"/>
          <w:szCs w:val="28"/>
          <w:lang w:val="en"/>
        </w:rPr>
        <w:t>….[</w:t>
      </w:r>
      <w:proofErr w:type="gramEnd"/>
      <w:r>
        <w:rPr>
          <w:rFonts w:eastAsia="Times New Roman"/>
          <w:color w:val="333333"/>
          <w:sz w:val="28"/>
          <w:szCs w:val="28"/>
          <w:lang w:val="en"/>
        </w:rPr>
        <w:t xml:space="preserve">But this] </w:t>
      </w:r>
      <w:r w:rsidRPr="00D21A15">
        <w:rPr>
          <w:rFonts w:eastAsia="Times New Roman"/>
          <w:color w:val="333333"/>
          <w:sz w:val="28"/>
          <w:szCs w:val="28"/>
          <w:lang w:val="en"/>
        </w:rPr>
        <w:t>miss</w:t>
      </w:r>
      <w:r>
        <w:rPr>
          <w:rFonts w:eastAsia="Times New Roman"/>
          <w:color w:val="333333"/>
          <w:sz w:val="28"/>
          <w:szCs w:val="28"/>
          <w:lang w:val="en"/>
        </w:rPr>
        <w:t>[</w:t>
      </w:r>
      <w:proofErr w:type="spellStart"/>
      <w:r>
        <w:rPr>
          <w:rFonts w:eastAsia="Times New Roman"/>
          <w:color w:val="333333"/>
          <w:sz w:val="28"/>
          <w:szCs w:val="28"/>
          <w:lang w:val="en"/>
        </w:rPr>
        <w:t>es</w:t>
      </w:r>
      <w:proofErr w:type="spellEnd"/>
      <w:r>
        <w:rPr>
          <w:rFonts w:eastAsia="Times New Roman"/>
          <w:color w:val="333333"/>
          <w:sz w:val="28"/>
          <w:szCs w:val="28"/>
          <w:lang w:val="en"/>
        </w:rPr>
        <w:t>]</w:t>
      </w:r>
      <w:r w:rsidRPr="00D21A15">
        <w:rPr>
          <w:rFonts w:eastAsia="Times New Roman"/>
          <w:color w:val="333333"/>
          <w:sz w:val="28"/>
          <w:szCs w:val="28"/>
          <w:lang w:val="en"/>
        </w:rPr>
        <w:t xml:space="preserve"> the point. Liberty comes not from officials by</w:t>
      </w:r>
    </w:p>
    <w:p w:rsidR="00D21A15" w:rsidRPr="00D21A15" w:rsidRDefault="00D21A15" w:rsidP="00D21A15">
      <w:pPr>
        <w:pStyle w:val="NormalWeb"/>
        <w:shd w:val="clear" w:color="auto" w:fill="FFFFFF"/>
        <w:spacing w:line="240" w:lineRule="auto"/>
        <w:rPr>
          <w:rFonts w:eastAsia="Times New Roman"/>
          <w:color w:val="333333"/>
          <w:sz w:val="28"/>
          <w:szCs w:val="28"/>
          <w:lang w:val="en"/>
        </w:rPr>
      </w:pPr>
      <w:r>
        <w:rPr>
          <w:rFonts w:eastAsia="Times New Roman"/>
          <w:color w:val="333333"/>
          <w:sz w:val="28"/>
          <w:szCs w:val="28"/>
          <w:lang w:val="en"/>
        </w:rPr>
        <w:tab/>
      </w:r>
      <w:r>
        <w:rPr>
          <w:rFonts w:eastAsia="Times New Roman"/>
          <w:color w:val="333333"/>
          <w:sz w:val="28"/>
          <w:szCs w:val="28"/>
          <w:lang w:val="en"/>
        </w:rPr>
        <w:tab/>
      </w:r>
      <w:proofErr w:type="gramStart"/>
      <w:r w:rsidRPr="00D21A15">
        <w:rPr>
          <w:rFonts w:eastAsia="Times New Roman"/>
          <w:color w:val="333333"/>
          <w:sz w:val="28"/>
          <w:szCs w:val="28"/>
          <w:lang w:val="en"/>
        </w:rPr>
        <w:t>grace</w:t>
      </w:r>
      <w:proofErr w:type="gramEnd"/>
      <w:r w:rsidRPr="00D21A15">
        <w:rPr>
          <w:rFonts w:eastAsia="Times New Roman"/>
          <w:color w:val="333333"/>
          <w:sz w:val="28"/>
          <w:szCs w:val="28"/>
          <w:lang w:val="en"/>
        </w:rPr>
        <w:t xml:space="preserve"> but from the Constitution by right.</w:t>
      </w:r>
      <w:r>
        <w:rPr>
          <w:rFonts w:eastAsia="Times New Roman"/>
          <w:color w:val="333333"/>
          <w:sz w:val="28"/>
          <w:szCs w:val="28"/>
          <w:lang w:val="en"/>
        </w:rPr>
        <w:t>”</w:t>
      </w:r>
    </w:p>
    <w:p w:rsidR="00FD4B08" w:rsidRDefault="00FD4B08" w:rsidP="00FD4B08">
      <w:pPr>
        <w:pStyle w:val="FootnoteText"/>
      </w:pPr>
    </w:p>
    <w:p w:rsidR="00213300" w:rsidRDefault="00213300" w:rsidP="00C76395">
      <w:pPr>
        <w:pStyle w:val="FootnoteText"/>
      </w:pPr>
    </w:p>
    <w:p w:rsidR="00213300" w:rsidRDefault="00FD4B08" w:rsidP="00C76395">
      <w:pPr>
        <w:pStyle w:val="FootnoteText"/>
        <w:rPr>
          <w:b/>
        </w:rPr>
      </w:pPr>
      <w:r>
        <w:rPr>
          <w:b/>
        </w:rPr>
        <w:t>2.  The Fourteenth Amendment’s Due Process Clause, the 20</w:t>
      </w:r>
      <w:r w:rsidRPr="00FD4B08">
        <w:rPr>
          <w:b/>
          <w:vertAlign w:val="superscript"/>
        </w:rPr>
        <w:t>th</w:t>
      </w:r>
      <w:r>
        <w:rPr>
          <w:b/>
        </w:rPr>
        <w:t xml:space="preserve"> century doctrine of “incorporation,” and </w:t>
      </w:r>
      <w:proofErr w:type="spellStart"/>
      <w:r w:rsidR="00213300" w:rsidRPr="00213300">
        <w:rPr>
          <w:b/>
          <w:i/>
        </w:rPr>
        <w:t>Winship</w:t>
      </w:r>
      <w:proofErr w:type="spellEnd"/>
      <w:r w:rsidR="00213300" w:rsidRPr="00213300">
        <w:rPr>
          <w:b/>
        </w:rPr>
        <w:t xml:space="preserve"> (1970</w:t>
      </w:r>
      <w:r>
        <w:rPr>
          <w:b/>
        </w:rPr>
        <w:t>).</w:t>
      </w:r>
    </w:p>
    <w:p w:rsidR="00A84EF1" w:rsidRDefault="00A84EF1" w:rsidP="00C76395">
      <w:pPr>
        <w:pStyle w:val="FootnoteText"/>
        <w:rPr>
          <w:b/>
          <w:i/>
        </w:rPr>
      </w:pPr>
      <w:r>
        <w:rPr>
          <w:b/>
        </w:rPr>
        <w:tab/>
      </w:r>
      <w:proofErr w:type="gramStart"/>
      <w:r w:rsidR="00BE7243" w:rsidRPr="00BE7243">
        <w:rPr>
          <w:b/>
          <w:i/>
        </w:rPr>
        <w:t>[--  Brief</w:t>
      </w:r>
      <w:proofErr w:type="gramEnd"/>
      <w:r w:rsidR="00BE7243" w:rsidRPr="00BE7243">
        <w:rPr>
          <w:b/>
          <w:i/>
        </w:rPr>
        <w:t xml:space="preserve"> Outline of pages 1-63 in the Textbook]</w:t>
      </w:r>
    </w:p>
    <w:p w:rsidR="00BE7243" w:rsidRPr="00BE7243" w:rsidRDefault="00BE7243" w:rsidP="00C76395">
      <w:pPr>
        <w:pStyle w:val="FootnoteText"/>
        <w:rPr>
          <w:b/>
          <w:i/>
        </w:rPr>
      </w:pPr>
    </w:p>
    <w:p w:rsidR="00A84EF1" w:rsidRPr="00A84EF1" w:rsidRDefault="00A84EF1" w:rsidP="00C76395">
      <w:pPr>
        <w:pStyle w:val="FootnoteText"/>
      </w:pPr>
      <w:r>
        <w:rPr>
          <w:b/>
        </w:rPr>
        <w:tab/>
      </w:r>
      <w:r w:rsidRPr="00A84EF1">
        <w:t>-- Text (and context) of the Fourteenth Amendment (1968).</w:t>
      </w:r>
    </w:p>
    <w:p w:rsidR="00A84EF1" w:rsidRDefault="00A84EF1" w:rsidP="00C76395">
      <w:pPr>
        <w:pStyle w:val="FootnoteText"/>
      </w:pPr>
      <w:r w:rsidRPr="00A84EF1">
        <w:tab/>
      </w:r>
      <w:r w:rsidRPr="00A84EF1">
        <w:tab/>
        <w:t xml:space="preserve">-- Prior Law: </w:t>
      </w:r>
      <w:r w:rsidRPr="00A84EF1">
        <w:rPr>
          <w:i/>
        </w:rPr>
        <w:t>Baron v. Baltimore</w:t>
      </w:r>
      <w:r w:rsidRPr="00A84EF1">
        <w:t xml:space="preserve"> (18</w:t>
      </w:r>
      <w:r>
        <w:t>33</w:t>
      </w:r>
      <w:r w:rsidRPr="00A84EF1">
        <w:t>)</w:t>
      </w:r>
      <w:r>
        <w:t>: the Fifth Amendment’s “due</w:t>
      </w:r>
    </w:p>
    <w:p w:rsidR="00A84EF1" w:rsidRDefault="00A84EF1" w:rsidP="00C76395">
      <w:pPr>
        <w:pStyle w:val="FootnoteText"/>
      </w:pPr>
      <w:r>
        <w:tab/>
      </w:r>
      <w:r>
        <w:tab/>
      </w:r>
      <w:r>
        <w:tab/>
      </w:r>
      <w:proofErr w:type="gramStart"/>
      <w:r>
        <w:t>process</w:t>
      </w:r>
      <w:proofErr w:type="gramEnd"/>
      <w:r>
        <w:t>” protection applies only against the federal government,</w:t>
      </w:r>
    </w:p>
    <w:p w:rsidR="00A84EF1" w:rsidRDefault="00A84EF1" w:rsidP="00C76395">
      <w:pPr>
        <w:pStyle w:val="FootnoteText"/>
      </w:pPr>
      <w:r>
        <w:tab/>
      </w:r>
      <w:r>
        <w:tab/>
      </w:r>
      <w:r>
        <w:tab/>
      </w:r>
      <w:proofErr w:type="gramStart"/>
      <w:r w:rsidRPr="00A84EF1">
        <w:rPr>
          <w:u w:val="single"/>
        </w:rPr>
        <w:t>not</w:t>
      </w:r>
      <w:proofErr w:type="gramEnd"/>
      <w:r w:rsidRPr="00A84EF1">
        <w:rPr>
          <w:u w:val="single"/>
        </w:rPr>
        <w:t xml:space="preserve"> against States</w:t>
      </w:r>
      <w:r w:rsidRPr="00A84EF1">
        <w:t>.</w:t>
      </w:r>
    </w:p>
    <w:p w:rsidR="00A84EF1" w:rsidRDefault="00A84EF1" w:rsidP="00C76395">
      <w:pPr>
        <w:pStyle w:val="FootnoteText"/>
      </w:pPr>
    </w:p>
    <w:p w:rsidR="00A84EF1" w:rsidRDefault="00A84EF1" w:rsidP="00C76395">
      <w:pPr>
        <w:pStyle w:val="FootnoteText"/>
      </w:pPr>
      <w:r>
        <w:tab/>
        <w:t>--  Quick description of the 35-year process of “incorporating” the Bill of Rights (the first ten amendments to the Constitution) into the 14</w:t>
      </w:r>
      <w:r w:rsidRPr="00A84EF1">
        <w:rPr>
          <w:vertAlign w:val="superscript"/>
        </w:rPr>
        <w:t>th</w:t>
      </w:r>
      <w:r>
        <w:t xml:space="preserve"> Amendment’s definition of “due process,” thereby applying those Amendments against the States: 1932 (</w:t>
      </w:r>
      <w:r w:rsidR="001779AB" w:rsidRPr="001779AB">
        <w:rPr>
          <w:i/>
        </w:rPr>
        <w:t>Powell</w:t>
      </w:r>
      <w:r>
        <w:t>) through 1968 (</w:t>
      </w:r>
      <w:r w:rsidRPr="00A84EF1">
        <w:rPr>
          <w:i/>
        </w:rPr>
        <w:t>Duncan</w:t>
      </w:r>
      <w:r>
        <w:t>)</w:t>
      </w:r>
      <w:r w:rsidR="001779AB">
        <w:t xml:space="preserve"> (and more recently, </w:t>
      </w:r>
      <w:r w:rsidR="001779AB" w:rsidRPr="001779AB">
        <w:rPr>
          <w:i/>
        </w:rPr>
        <w:t>McDonald</w:t>
      </w:r>
      <w:r w:rsidR="001779AB">
        <w:t>, 2010, Second Amendment).</w:t>
      </w:r>
    </w:p>
    <w:p w:rsidR="00A84EF1" w:rsidRDefault="00A84EF1" w:rsidP="00C76395">
      <w:pPr>
        <w:pStyle w:val="FootnoteText"/>
      </w:pPr>
    </w:p>
    <w:p w:rsidR="001779AB" w:rsidRDefault="00A84EF1" w:rsidP="00C76395">
      <w:pPr>
        <w:pStyle w:val="FootnoteText"/>
      </w:pPr>
      <w:r>
        <w:tab/>
        <w:t xml:space="preserve">-- </w:t>
      </w:r>
      <w:proofErr w:type="spellStart"/>
      <w:r w:rsidRPr="00A84EF1">
        <w:rPr>
          <w:b/>
          <w:i/>
        </w:rPr>
        <w:t>Winship</w:t>
      </w:r>
      <w:proofErr w:type="spellEnd"/>
      <w:r>
        <w:t xml:space="preserve"> (1970):</w:t>
      </w:r>
      <w:r w:rsidR="001779AB">
        <w:t xml:space="preserve">  Start with the </w:t>
      </w:r>
      <w:r w:rsidR="001779AB" w:rsidRPr="001779AB">
        <w:rPr>
          <w:u w:val="single"/>
        </w:rPr>
        <w:t>facts</w:t>
      </w:r>
      <w:r w:rsidR="001779AB">
        <w:t>: what are they (simple)?  Where did they come from?  How were they determined?</w:t>
      </w:r>
    </w:p>
    <w:p w:rsidR="00A84EF1" w:rsidRDefault="001779AB" w:rsidP="00C76395">
      <w:pPr>
        <w:pStyle w:val="FootnoteText"/>
      </w:pPr>
      <w:r>
        <w:tab/>
      </w:r>
      <w:r>
        <w:tab/>
        <w:t xml:space="preserve">-- </w:t>
      </w:r>
      <w:r w:rsidRPr="001779AB">
        <w:rPr>
          <w:u w:val="single"/>
        </w:rPr>
        <w:t>Law</w:t>
      </w:r>
      <w:r>
        <w:t xml:space="preserve">:  </w:t>
      </w:r>
      <w:r w:rsidR="00A84EF1">
        <w:t>what substantive right does it recognize?</w:t>
      </w:r>
    </w:p>
    <w:p w:rsidR="00A84EF1" w:rsidRDefault="00A84EF1" w:rsidP="00C76395">
      <w:pPr>
        <w:pStyle w:val="FootnoteText"/>
      </w:pPr>
      <w:r>
        <w:tab/>
      </w:r>
      <w:r>
        <w:tab/>
      </w:r>
      <w:r w:rsidR="001779AB">
        <w:tab/>
      </w:r>
      <w:r>
        <w:t>-- And why?  What does the majority (Brennan) SAY?</w:t>
      </w:r>
    </w:p>
    <w:p w:rsidR="00A84EF1" w:rsidRDefault="00A84EF1" w:rsidP="00C76395">
      <w:pPr>
        <w:pStyle w:val="FootnoteText"/>
      </w:pPr>
      <w:r>
        <w:tab/>
      </w:r>
      <w:r>
        <w:tab/>
      </w:r>
      <w:r>
        <w:tab/>
        <w:t>-- What does Harlan ADD in his concurrence?</w:t>
      </w:r>
    </w:p>
    <w:p w:rsidR="00A84EF1" w:rsidRDefault="00A84EF1" w:rsidP="00C76395">
      <w:pPr>
        <w:pStyle w:val="FootnoteText"/>
      </w:pPr>
      <w:r>
        <w:tab/>
      </w:r>
      <w:r>
        <w:tab/>
      </w:r>
      <w:r>
        <w:tab/>
        <w:t>-- What is Black’s theory for dissenting?</w:t>
      </w:r>
    </w:p>
    <w:p w:rsidR="001779AB" w:rsidRDefault="001779AB" w:rsidP="00C76395">
      <w:pPr>
        <w:pStyle w:val="FootnoteText"/>
      </w:pPr>
      <w:r>
        <w:tab/>
      </w:r>
      <w:r>
        <w:tab/>
        <w:t xml:space="preserve">-- What does </w:t>
      </w:r>
      <w:proofErr w:type="spellStart"/>
      <w:r w:rsidRPr="001779AB">
        <w:rPr>
          <w:i/>
        </w:rPr>
        <w:t>Winship</w:t>
      </w:r>
      <w:proofErr w:type="spellEnd"/>
      <w:r>
        <w:t xml:space="preserve"> tell us about the American criminal justice system?</w:t>
      </w:r>
    </w:p>
    <w:p w:rsidR="001779AB" w:rsidRDefault="001779AB" w:rsidP="00C76395">
      <w:pPr>
        <w:pStyle w:val="FootnoteText"/>
      </w:pPr>
    </w:p>
    <w:p w:rsidR="001779AB" w:rsidRDefault="001779AB" w:rsidP="00C76395">
      <w:pPr>
        <w:pStyle w:val="FootnoteText"/>
      </w:pPr>
      <w:r>
        <w:tab/>
        <w:t>-- What goals would YOU want for the process of investigating and prosecuting crime?  That is, “what are the goals of criminal procedure?”</w:t>
      </w:r>
    </w:p>
    <w:p w:rsidR="001779AB" w:rsidRDefault="001779AB" w:rsidP="00C76395">
      <w:pPr>
        <w:pStyle w:val="FootnoteText"/>
      </w:pPr>
    </w:p>
    <w:p w:rsidR="001779AB" w:rsidRPr="00A84EF1" w:rsidRDefault="001779AB" w:rsidP="00C76395">
      <w:pPr>
        <w:pStyle w:val="FootnoteText"/>
      </w:pPr>
      <w:r>
        <w:tab/>
        <w:t>-- More history, quick survey of the 14</w:t>
      </w:r>
      <w:r w:rsidRPr="001779AB">
        <w:rPr>
          <w:vertAlign w:val="superscript"/>
        </w:rPr>
        <w:t>th</w:t>
      </w:r>
      <w:r>
        <w:t xml:space="preserve"> Amendment Due Process Clause as applied to criminal justice issues, 1868-1930……</w:t>
      </w:r>
      <w:bookmarkStart w:id="0" w:name="_GoBack"/>
      <w:bookmarkEnd w:id="0"/>
    </w:p>
    <w:sectPr w:rsidR="001779AB" w:rsidRPr="00A84EF1" w:rsidSect="00E14AD5">
      <w:type w:val="continuous"/>
      <w:pgSz w:w="12240" w:h="15840"/>
      <w:pgMar w:top="1267" w:right="1008" w:bottom="720" w:left="1440" w:header="1267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95"/>
    <w:rsid w:val="001779AB"/>
    <w:rsid w:val="00213300"/>
    <w:rsid w:val="003C4E4C"/>
    <w:rsid w:val="004E1304"/>
    <w:rsid w:val="00762A24"/>
    <w:rsid w:val="008F47FD"/>
    <w:rsid w:val="009B621A"/>
    <w:rsid w:val="00A84EF1"/>
    <w:rsid w:val="00BE7243"/>
    <w:rsid w:val="00C76395"/>
    <w:rsid w:val="00D21A15"/>
    <w:rsid w:val="00E14AD5"/>
    <w:rsid w:val="00EB52AE"/>
    <w:rsid w:val="00EB6DCD"/>
    <w:rsid w:val="00EE6080"/>
    <w:rsid w:val="00FA5D62"/>
    <w:rsid w:val="00FD4B08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9637D-B69E-4264-BAAF-53C640EC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FootnoteText"/>
    <w:qFormat/>
    <w:rsid w:val="008F47FD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F47F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47FD"/>
    <w:rPr>
      <w:sz w:val="28"/>
      <w:szCs w:val="20"/>
    </w:rPr>
  </w:style>
  <w:style w:type="paragraph" w:customStyle="1" w:styleId="Footnote2">
    <w:name w:val="Footnote2"/>
    <w:basedOn w:val="Normal"/>
    <w:next w:val="FootnoteText"/>
    <w:rsid w:val="008F47FD"/>
  </w:style>
  <w:style w:type="paragraph" w:styleId="Header">
    <w:name w:val="header"/>
    <w:basedOn w:val="Normal"/>
    <w:link w:val="HeaderChar"/>
    <w:uiPriority w:val="99"/>
    <w:unhideWhenUsed/>
    <w:rsid w:val="008F47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FD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8F47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FD"/>
    <w:rPr>
      <w:sz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8F47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B6D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DC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1A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8154">
          <w:marLeft w:val="0"/>
          <w:marRight w:val="0"/>
          <w:marTop w:val="0"/>
          <w:marBottom w:val="0"/>
          <w:divBdr>
            <w:top w:val="single" w:sz="2" w:space="31" w:color="DBDBDB"/>
            <w:left w:val="single" w:sz="2" w:space="0" w:color="DBDBDB"/>
            <w:bottom w:val="single" w:sz="6" w:space="0" w:color="DBDBDB"/>
            <w:right w:val="single" w:sz="2" w:space="0" w:color="DBDBDB"/>
          </w:divBdr>
          <w:divsChild>
            <w:div w:id="7100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Hastings College of the Law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Rory</dc:creator>
  <cp:lastModifiedBy>Little, Rory</cp:lastModifiedBy>
  <cp:revision>3</cp:revision>
  <dcterms:created xsi:type="dcterms:W3CDTF">2015-08-31T16:11:00Z</dcterms:created>
  <dcterms:modified xsi:type="dcterms:W3CDTF">2015-08-31T16:26:00Z</dcterms:modified>
</cp:coreProperties>
</file>